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7" w:rsidRPr="00F80D29" w:rsidRDefault="006A1037" w:rsidP="006A1037">
      <w:pPr>
        <w:tabs>
          <w:tab w:val="left" w:pos="993"/>
        </w:tabs>
        <w:spacing w:before="120" w:after="120" w:line="17" w:lineRule="atLeast"/>
        <w:ind w:left="360"/>
        <w:jc w:val="center"/>
        <w:rPr>
          <w:rFonts w:cs="Times New Roman"/>
          <w:b/>
          <w:sz w:val="28"/>
          <w:szCs w:val="28"/>
        </w:rPr>
      </w:pPr>
      <w:r w:rsidRPr="00F80D29">
        <w:rPr>
          <w:rFonts w:cs="Times New Roman"/>
          <w:b/>
          <w:sz w:val="28"/>
          <w:szCs w:val="28"/>
        </w:rPr>
        <w:t xml:space="preserve">Права и обязанности заявителей </w:t>
      </w:r>
    </w:p>
    <w:p w:rsidR="00F80D29" w:rsidRPr="00F80D29" w:rsidRDefault="00F80D29" w:rsidP="006A1037">
      <w:pPr>
        <w:tabs>
          <w:tab w:val="left" w:pos="993"/>
        </w:tabs>
        <w:spacing w:before="120" w:after="120" w:line="17" w:lineRule="atLeast"/>
        <w:ind w:left="360"/>
        <w:jc w:val="center"/>
        <w:rPr>
          <w:rFonts w:cs="Times New Roman"/>
          <w:b/>
          <w:sz w:val="28"/>
          <w:szCs w:val="28"/>
        </w:rPr>
      </w:pPr>
    </w:p>
    <w:p w:rsidR="00F80D29" w:rsidRPr="00F80D29" w:rsidRDefault="00F80D29" w:rsidP="00F80D29">
      <w:pPr>
        <w:tabs>
          <w:tab w:val="left" w:pos="0"/>
        </w:tabs>
        <w:ind w:firstLine="284"/>
        <w:jc w:val="center"/>
        <w:rPr>
          <w:rFonts w:cs="Times New Roman"/>
          <w:b/>
          <w:i/>
          <w:sz w:val="28"/>
          <w:szCs w:val="28"/>
        </w:rPr>
      </w:pPr>
      <w:r w:rsidRPr="00F80D29">
        <w:rPr>
          <w:rFonts w:cs="Times New Roman"/>
          <w:b/>
          <w:i/>
          <w:sz w:val="28"/>
          <w:szCs w:val="28"/>
        </w:rPr>
        <w:t xml:space="preserve">Федеральный закон от 27.12.2002 </w:t>
      </w:r>
      <w:r w:rsidR="00C43708">
        <w:rPr>
          <w:rFonts w:cs="Times New Roman"/>
          <w:b/>
          <w:i/>
          <w:sz w:val="28"/>
          <w:szCs w:val="28"/>
        </w:rPr>
        <w:t>№</w:t>
      </w:r>
      <w:r w:rsidRPr="00F80D29">
        <w:rPr>
          <w:rFonts w:cs="Times New Roman"/>
          <w:b/>
          <w:i/>
          <w:sz w:val="28"/>
          <w:szCs w:val="28"/>
        </w:rPr>
        <w:t xml:space="preserve"> 184-ФЗ О техническом регулировании, статья 28: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1. Заявитель вправе: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обращаться </w:t>
      </w:r>
      <w:proofErr w:type="gramStart"/>
      <w:r w:rsidRPr="00F80D29">
        <w:rPr>
          <w:rFonts w:cs="Times New Roman"/>
          <w:sz w:val="28"/>
          <w:szCs w:val="28"/>
        </w:rPr>
        <w:t>в орган по аккредитации с жалобами на неправомерные действия органов по сертификации</w:t>
      </w:r>
      <w:proofErr w:type="gramEnd"/>
      <w:r w:rsidRPr="00F80D29">
        <w:rPr>
          <w:rFonts w:cs="Times New Roman"/>
          <w:sz w:val="28"/>
          <w:szCs w:val="28"/>
        </w:rP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использовать техническую документацию для подтверждения соответствия продукции требованиям технических регламентов.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2. Заявитель обязан: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обеспечивать соответствие продукции требованиям технических регламентов;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</w:t>
      </w:r>
      <w:r w:rsidRPr="00F80D29">
        <w:rPr>
          <w:rFonts w:cs="Times New Roman"/>
          <w:sz w:val="28"/>
          <w:szCs w:val="28"/>
        </w:rPr>
        <w:lastRenderedPageBreak/>
        <w:t xml:space="preserve">соответствия, в течение срока годности или срока службы продукции, </w:t>
      </w:r>
      <w:proofErr w:type="gramStart"/>
      <w:r w:rsidRPr="00F80D29">
        <w:rPr>
          <w:rFonts w:cs="Times New Roman"/>
          <w:sz w:val="28"/>
          <w:szCs w:val="28"/>
        </w:rPr>
        <w:t>установленных</w:t>
      </w:r>
      <w:proofErr w:type="gramEnd"/>
      <w:r w:rsidRPr="00F80D29">
        <w:rPr>
          <w:rFonts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80D29" w:rsidRP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F80D29" w:rsidRPr="00F80D29" w:rsidRDefault="00F80D29" w:rsidP="00F80D29">
      <w:pPr>
        <w:tabs>
          <w:tab w:val="left" w:pos="0"/>
        </w:tabs>
        <w:ind w:firstLine="567"/>
        <w:jc w:val="center"/>
        <w:rPr>
          <w:rFonts w:cs="Times New Roman"/>
          <w:b/>
          <w:i/>
          <w:sz w:val="28"/>
          <w:szCs w:val="28"/>
        </w:rPr>
      </w:pPr>
      <w:r w:rsidRPr="00F80D29">
        <w:rPr>
          <w:rFonts w:cs="Times New Roman"/>
          <w:b/>
          <w:i/>
          <w:sz w:val="28"/>
          <w:szCs w:val="28"/>
        </w:rPr>
        <w:t xml:space="preserve">Требования к заявителю, установленные ГОСТ </w:t>
      </w:r>
      <w:proofErr w:type="gramStart"/>
      <w:r w:rsidRPr="00F80D29">
        <w:rPr>
          <w:rFonts w:cs="Times New Roman"/>
          <w:b/>
          <w:i/>
          <w:sz w:val="28"/>
          <w:szCs w:val="28"/>
        </w:rPr>
        <w:t>Р</w:t>
      </w:r>
      <w:proofErr w:type="gramEnd"/>
      <w:r w:rsidRPr="00F80D29">
        <w:rPr>
          <w:rFonts w:cs="Times New Roman"/>
          <w:b/>
          <w:i/>
          <w:sz w:val="28"/>
          <w:szCs w:val="28"/>
        </w:rPr>
        <w:t xml:space="preserve"> ИСО/МЭК 17065-2012 «Требования к органам по сертификации продукции, процессов и услуг» и документами </w:t>
      </w:r>
      <w:r w:rsidR="00C43708">
        <w:rPr>
          <w:rFonts w:cs="Times New Roman"/>
          <w:b/>
          <w:i/>
          <w:sz w:val="28"/>
          <w:szCs w:val="28"/>
        </w:rPr>
        <w:t xml:space="preserve">системы менеджмента </w:t>
      </w:r>
      <w:r w:rsidRPr="00F80D29">
        <w:rPr>
          <w:rFonts w:cs="Times New Roman"/>
          <w:b/>
          <w:i/>
          <w:sz w:val="28"/>
          <w:szCs w:val="28"/>
        </w:rPr>
        <w:t>Органа по сертификации продукции ФБУ «Омский ЦСМ»</w:t>
      </w:r>
    </w:p>
    <w:p w:rsidR="00F80D29" w:rsidRPr="00F80D29" w:rsidRDefault="00F80D29" w:rsidP="00F80D29">
      <w:pPr>
        <w:tabs>
          <w:tab w:val="left" w:pos="0"/>
        </w:tabs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F80D29">
        <w:rPr>
          <w:rFonts w:cs="Times New Roman"/>
          <w:sz w:val="28"/>
          <w:szCs w:val="28"/>
        </w:rPr>
        <w:t xml:space="preserve">1. </w:t>
      </w:r>
      <w:r w:rsidRPr="003402F6">
        <w:rPr>
          <w:rFonts w:cs="Times New Roman"/>
          <w:sz w:val="28"/>
          <w:szCs w:val="28"/>
        </w:rPr>
        <w:t>Требования к заявителю в ходе проведения работ по подтверждению соответствия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Заявитель на проведение работ по подтверждению соответствия обязан: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быть зарегистрированным на территории РФ юридическое лицо или физическое лицо в качестве индивидуального предпринимателя, являющимся изготовителем или продавцом либо выполняющим функции иностранного изготовителя на основании договора с ним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подать должным образом оформленную и подписанную за</w:t>
      </w:r>
      <w:r w:rsidR="00C43708" w:rsidRPr="003402F6">
        <w:rPr>
          <w:rFonts w:cs="Times New Roman"/>
          <w:sz w:val="28"/>
          <w:szCs w:val="28"/>
        </w:rPr>
        <w:t>явку на проведение сертификации</w:t>
      </w:r>
      <w:r w:rsidRPr="003402F6">
        <w:rPr>
          <w:rFonts w:cs="Times New Roman"/>
          <w:sz w:val="28"/>
          <w:szCs w:val="28"/>
        </w:rPr>
        <w:t xml:space="preserve"> в ОС;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402F6">
        <w:rPr>
          <w:rFonts w:cs="Times New Roman"/>
          <w:sz w:val="28"/>
          <w:szCs w:val="28"/>
        </w:rPr>
        <w:t xml:space="preserve">предоставить </w:t>
      </w:r>
      <w:r w:rsidR="003402F6" w:rsidRPr="003402F6">
        <w:rPr>
          <w:rFonts w:cs="Times New Roman"/>
          <w:sz w:val="28"/>
          <w:szCs w:val="28"/>
        </w:rPr>
        <w:t>документы</w:t>
      </w:r>
      <w:proofErr w:type="gramEnd"/>
      <w:r w:rsidR="003402F6" w:rsidRPr="003402F6">
        <w:rPr>
          <w:rFonts w:cs="Times New Roman"/>
          <w:sz w:val="28"/>
          <w:szCs w:val="28"/>
        </w:rPr>
        <w:t xml:space="preserve"> (заверенные копии), предусмотренные схемой подтверждения соответствия</w:t>
      </w:r>
      <w:r w:rsidRPr="003402F6">
        <w:rPr>
          <w:rFonts w:cs="Times New Roman"/>
          <w:sz w:val="28"/>
          <w:szCs w:val="28"/>
        </w:rPr>
        <w:t>;</w:t>
      </w:r>
    </w:p>
    <w:p w:rsidR="00F80D29" w:rsidRPr="003402F6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предоставлять ОС всю необходимую актуальную и достоверную информацию, документацию, записи, предусмотренные схемой сертификации;</w:t>
      </w:r>
    </w:p>
    <w:p w:rsidR="00F80D29" w:rsidRPr="003402F6" w:rsidRDefault="003402F6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3402F6">
        <w:rPr>
          <w:rFonts w:cs="Times New Roman"/>
          <w:sz w:val="28"/>
          <w:szCs w:val="28"/>
        </w:rPr>
        <w:t>обеспечить доступ работникам ОС на объект для отбора и идентификации образцов и проведения анализа состояния производства, в частности, обеспечить доступ в здания, строения, сооружения, к оборудованию и необходимой документации и т.д.</w:t>
      </w:r>
      <w:r w:rsidR="00F80D29" w:rsidRPr="003402F6">
        <w:rPr>
          <w:rFonts w:cs="Times New Roman"/>
          <w:sz w:val="28"/>
          <w:szCs w:val="28"/>
        </w:rPr>
        <w:t>;</w:t>
      </w:r>
    </w:p>
    <w:p w:rsidR="00F80D29" w:rsidRDefault="00F80D29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>своевременно оплатить работы по подтверждению соответствия согласно условиям заключенного</w:t>
      </w:r>
      <w:r w:rsidR="008F4855">
        <w:rPr>
          <w:rFonts w:cs="Times New Roman"/>
          <w:sz w:val="28"/>
          <w:szCs w:val="28"/>
        </w:rPr>
        <w:t xml:space="preserve"> договора;</w:t>
      </w:r>
    </w:p>
    <w:p w:rsidR="008F4855" w:rsidRPr="008F4855" w:rsidRDefault="008F4855" w:rsidP="00F80D29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 xml:space="preserve">не оказывать на </w:t>
      </w:r>
      <w:r>
        <w:rPr>
          <w:rFonts w:cs="Times New Roman"/>
          <w:sz w:val="28"/>
          <w:szCs w:val="28"/>
        </w:rPr>
        <w:t>работников ОС</w:t>
      </w:r>
      <w:r w:rsidRPr="008F4855">
        <w:rPr>
          <w:rFonts w:cs="Times New Roman"/>
          <w:sz w:val="28"/>
          <w:szCs w:val="28"/>
        </w:rPr>
        <w:t xml:space="preserve"> какое-либо давление (коммерческое, финансовое, административное и др.) с целью искажения результатов подтверждения соответствия</w:t>
      </w:r>
    </w:p>
    <w:p w:rsidR="008F4855" w:rsidRPr="008F4855" w:rsidRDefault="00F80D29" w:rsidP="008F4855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8F4855">
        <w:rPr>
          <w:rFonts w:cs="Times New Roman"/>
          <w:sz w:val="28"/>
          <w:szCs w:val="28"/>
        </w:rPr>
        <w:t>2 Требования к заявителю после получения документов о подтверждении соответствия</w:t>
      </w:r>
      <w:r w:rsidR="008F4855" w:rsidRPr="008F4855">
        <w:rPr>
          <w:rFonts w:cs="Times New Roman"/>
          <w:sz w:val="28"/>
          <w:szCs w:val="28"/>
        </w:rPr>
        <w:t>:</w:t>
      </w:r>
    </w:p>
    <w:p w:rsidR="00F80D29" w:rsidRPr="009D48A2" w:rsidRDefault="00F80D29" w:rsidP="00E753F0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9D48A2">
        <w:rPr>
          <w:rFonts w:cs="Times New Roman"/>
          <w:sz w:val="28"/>
          <w:szCs w:val="28"/>
        </w:rPr>
        <w:t>После получения сертификата соответствия заявитель обязан:</w:t>
      </w:r>
    </w:p>
    <w:p w:rsidR="006A1037" w:rsidRPr="009D48A2" w:rsidRDefault="009D48A2" w:rsidP="00E753F0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постоянно выполнять сертификационные требования, включая внесение соответствующих изменений, и сообщать о них органу по сертификации;</w:t>
      </w:r>
    </w:p>
    <w:p w:rsidR="006A1037" w:rsidRPr="009D48A2" w:rsidRDefault="006A1037" w:rsidP="00E753F0">
      <w:pPr>
        <w:pStyle w:val="a3"/>
        <w:numPr>
          <w:ilvl w:val="2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>обеспечивать соответствие продукции требованиям технических регламентов (НД);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D48A2">
        <w:rPr>
          <w:rFonts w:cs="Times New Roman"/>
          <w:sz w:val="28"/>
          <w:szCs w:val="28"/>
        </w:rPr>
        <w:t xml:space="preserve"> </w:t>
      </w:r>
      <w:r w:rsidR="006A1037" w:rsidRPr="009D48A2">
        <w:rPr>
          <w:rFonts w:cs="Times New Roman"/>
          <w:sz w:val="28"/>
          <w:szCs w:val="28"/>
        </w:rPr>
        <w:t>принимать необходимые меры для</w:t>
      </w:r>
      <w:r w:rsidR="006A1037" w:rsidRPr="009D48A2">
        <w:rPr>
          <w:sz w:val="28"/>
          <w:szCs w:val="28"/>
        </w:rPr>
        <w:t xml:space="preserve">: </w:t>
      </w:r>
      <w:r w:rsidR="006A1037" w:rsidRPr="009D48A2">
        <w:rPr>
          <w:rFonts w:cs="Times New Roman"/>
          <w:sz w:val="28"/>
          <w:szCs w:val="28"/>
        </w:rPr>
        <w:t>оценивания и надзора (при необходимости), рассмотрения жалоб, участия наблюдателей (при необходимости);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выступать с заявлениями, касающимися сертификации, исключительно в ее рамках; использовать сертификацию продукции таким образом, чтобы не нанести ущерб репутации </w:t>
      </w:r>
      <w:r w:rsidRPr="009D48A2">
        <w:rPr>
          <w:sz w:val="28"/>
          <w:szCs w:val="28"/>
        </w:rPr>
        <w:t>ОС</w:t>
      </w:r>
      <w:r w:rsidR="006A1037" w:rsidRPr="009D48A2">
        <w:rPr>
          <w:sz w:val="28"/>
          <w:szCs w:val="28"/>
        </w:rPr>
        <w:t>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lastRenderedPageBreak/>
        <w:t xml:space="preserve"> </w:t>
      </w:r>
      <w:r w:rsidR="006A1037" w:rsidRPr="009D48A2">
        <w:rPr>
          <w:sz w:val="28"/>
          <w:szCs w:val="28"/>
        </w:rPr>
        <w:t xml:space="preserve">отказываться от каких-либо заявлений, касающихся сертификации продукции, которые могут рассматриваться как непозволительные и вводящие в заблуждение;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 случае приостановки или отмены сертификата соответствия прекратить использование средств рекламного характера, ссылающихся на сертификацию, принимать меры согласно требованиям схемы сертификации;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предоставлять другим лицам копии документов по </w:t>
      </w:r>
      <w:proofErr w:type="gramStart"/>
      <w:r w:rsidR="006A1037" w:rsidRPr="009D48A2">
        <w:rPr>
          <w:sz w:val="28"/>
          <w:szCs w:val="28"/>
        </w:rPr>
        <w:t>сертификации, воспроизведенные во всей полноте или как это оговорено</w:t>
      </w:r>
      <w:proofErr w:type="gramEnd"/>
      <w:r w:rsidR="006A1037" w:rsidRPr="009D48A2">
        <w:rPr>
          <w:sz w:val="28"/>
          <w:szCs w:val="28"/>
        </w:rPr>
        <w:t xml:space="preserve"> в схеме сертификации; 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 выполнять требования, устанавливаемые схемой сертификации в отношении использования знаков соответствия и знака обращения продукции на рынке или содержащихся в информации по продукции;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 xml:space="preserve">вести учет записей всех жалоб, претензий и рекламаций на сертифицированную продукцию, предоставлять их по запросу </w:t>
      </w:r>
      <w:r w:rsidRPr="009D48A2">
        <w:rPr>
          <w:sz w:val="28"/>
          <w:szCs w:val="28"/>
        </w:rPr>
        <w:t>ОС</w:t>
      </w:r>
      <w:r w:rsidR="006A1037" w:rsidRPr="009D48A2">
        <w:rPr>
          <w:sz w:val="28"/>
          <w:szCs w:val="28"/>
        </w:rPr>
        <w:t>: принимать соответствующие меры в отношении таких жалоб и любых недостатков, обнаруженных в продукции, которые влияют на соответствие сертификационным требованиям; документировать предпринятые действия;</w:t>
      </w:r>
    </w:p>
    <w:p w:rsidR="006A1037" w:rsidRPr="009D48A2" w:rsidRDefault="009D48A2" w:rsidP="00E753F0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rFonts w:cs="Times New Roman"/>
          <w:sz w:val="28"/>
          <w:szCs w:val="28"/>
        </w:rPr>
        <w:t xml:space="preserve"> </w:t>
      </w:r>
      <w:proofErr w:type="gramStart"/>
      <w:r w:rsidR="006A1037" w:rsidRPr="009D48A2">
        <w:rPr>
          <w:rFonts w:cs="Times New Roman"/>
          <w:sz w:val="28"/>
          <w:szCs w:val="28"/>
        </w:rPr>
        <w:t xml:space="preserve">незамедлительно информировать </w:t>
      </w:r>
      <w:r w:rsidRPr="009D48A2">
        <w:rPr>
          <w:rFonts w:cs="Times New Roman"/>
          <w:sz w:val="28"/>
          <w:szCs w:val="28"/>
        </w:rPr>
        <w:t>ОС</w:t>
      </w:r>
      <w:r w:rsidR="006A1037" w:rsidRPr="009D48A2">
        <w:rPr>
          <w:rFonts w:cs="Times New Roman"/>
          <w:sz w:val="28"/>
          <w:szCs w:val="28"/>
        </w:rPr>
        <w:t xml:space="preserve"> об изменениях, вносимых в сертифицированную продукцию,</w:t>
      </w:r>
      <w:r w:rsidR="006A1037" w:rsidRPr="009D48A2">
        <w:rPr>
          <w:sz w:val="28"/>
          <w:szCs w:val="28"/>
        </w:rPr>
        <w:t xml:space="preserve"> </w:t>
      </w:r>
      <w:r w:rsidR="006A1037" w:rsidRPr="009D48A2">
        <w:rPr>
          <w:rFonts w:cs="Times New Roman"/>
          <w:sz w:val="28"/>
          <w:szCs w:val="28"/>
        </w:rPr>
        <w:t xml:space="preserve">об изменениях, которые могут повлиять на возможности </w:t>
      </w:r>
      <w:r w:rsidRPr="009D48A2">
        <w:rPr>
          <w:rFonts w:cs="Times New Roman"/>
          <w:sz w:val="28"/>
          <w:szCs w:val="28"/>
        </w:rPr>
        <w:t>Заявителя</w:t>
      </w:r>
      <w:r w:rsidR="006A1037" w:rsidRPr="009D48A2">
        <w:rPr>
          <w:rFonts w:cs="Times New Roman"/>
          <w:sz w:val="28"/>
          <w:szCs w:val="28"/>
        </w:rPr>
        <w:t xml:space="preserve"> соблюдать требования по подтверждению соответствия продукции, в том числе об изменении правового, коммерческого, организационного статуса или права собственности, организационной структуры и руководства, модификации продукции или производственного процесса, контактных данных и местонахождения, изменений в системе менеджмента качества;</w:t>
      </w:r>
      <w:proofErr w:type="gramEnd"/>
    </w:p>
    <w:p w:rsidR="007A23B9" w:rsidRDefault="009D48A2" w:rsidP="00704E5B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48A2">
        <w:rPr>
          <w:sz w:val="28"/>
          <w:szCs w:val="28"/>
        </w:rPr>
        <w:t xml:space="preserve"> </w:t>
      </w:r>
      <w:r w:rsidR="006A1037" w:rsidRPr="009D48A2">
        <w:rPr>
          <w:sz w:val="28"/>
          <w:szCs w:val="28"/>
        </w:rPr>
        <w:t>выполнять корректирующие мероприятия для устранения несоответствий прод</w:t>
      </w:r>
      <w:r w:rsidR="00704E5B">
        <w:rPr>
          <w:sz w:val="28"/>
          <w:szCs w:val="28"/>
        </w:rPr>
        <w:t>укции установленным требованиям.</w:t>
      </w:r>
    </w:p>
    <w:p w:rsidR="00802AE0" w:rsidRDefault="00802AE0" w:rsidP="00802AE0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802AE0" w:rsidRPr="00802AE0" w:rsidRDefault="00231EC4" w:rsidP="00231EC4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</w:t>
      </w:r>
      <w:r w:rsidR="00D77CDC">
        <w:rPr>
          <w:sz w:val="28"/>
          <w:szCs w:val="28"/>
        </w:rPr>
        <w:t>ю</w:t>
      </w:r>
      <w:r w:rsidRPr="00231EC4">
        <w:rPr>
          <w:sz w:val="28"/>
          <w:szCs w:val="28"/>
        </w:rPr>
        <w:t xml:space="preserve"> Комиссии Таможенного</w:t>
      </w:r>
      <w:r>
        <w:rPr>
          <w:sz w:val="28"/>
          <w:szCs w:val="28"/>
        </w:rPr>
        <w:t xml:space="preserve"> союза от 15 июля 2011 г. № 711 «</w:t>
      </w:r>
      <w:r w:rsidRPr="00231EC4">
        <w:rPr>
          <w:sz w:val="28"/>
          <w:szCs w:val="28"/>
        </w:rPr>
        <w:t>О едином знаке обращения продукц</w:t>
      </w:r>
      <w:r>
        <w:rPr>
          <w:sz w:val="28"/>
          <w:szCs w:val="28"/>
        </w:rPr>
        <w:t xml:space="preserve">ии </w:t>
      </w:r>
      <w:r w:rsidRPr="00231EC4">
        <w:rPr>
          <w:sz w:val="28"/>
          <w:szCs w:val="28"/>
        </w:rPr>
        <w:t>на рынке Евра</w:t>
      </w:r>
      <w:r>
        <w:rPr>
          <w:sz w:val="28"/>
          <w:szCs w:val="28"/>
        </w:rPr>
        <w:t xml:space="preserve">зийского экономического союза и </w:t>
      </w:r>
      <w:r w:rsidRPr="00231EC4">
        <w:rPr>
          <w:sz w:val="28"/>
          <w:szCs w:val="28"/>
        </w:rPr>
        <w:t>порядке его применения</w:t>
      </w:r>
      <w:r>
        <w:rPr>
          <w:sz w:val="28"/>
          <w:szCs w:val="28"/>
        </w:rPr>
        <w:t>» и</w:t>
      </w:r>
      <w:r w:rsidR="00802AE0" w:rsidRPr="00802AE0">
        <w:rPr>
          <w:sz w:val="28"/>
          <w:szCs w:val="28"/>
        </w:rPr>
        <w:t xml:space="preserve">зготовители, уполномоченные изготовителем лица, импортеры (поставщики) продукции имеют право маркирования </w:t>
      </w:r>
      <w:r>
        <w:rPr>
          <w:sz w:val="28"/>
          <w:szCs w:val="28"/>
        </w:rPr>
        <w:t>продукции</w:t>
      </w:r>
      <w:r w:rsidR="00802AE0" w:rsidRPr="00802AE0">
        <w:rPr>
          <w:sz w:val="28"/>
          <w:szCs w:val="28"/>
        </w:rPr>
        <w:t xml:space="preserve"> единым знаком обращения, если продукция прошла все установленные соответствующим техническим регламентом Евразийского экономического союза (техническим регламентом Таможенного союза) процедуры оценки соответствия на территории любого</w:t>
      </w:r>
      <w:proofErr w:type="gramEnd"/>
      <w:r w:rsidR="00802AE0" w:rsidRPr="00802AE0">
        <w:rPr>
          <w:sz w:val="28"/>
          <w:szCs w:val="28"/>
        </w:rPr>
        <w:t xml:space="preserve"> из государств - членов Евразийского экономического союза, что подтверждено документами, предусмотренными для соответствующих форм оценки соответствия в Евразийском экономическом союзе.</w:t>
      </w:r>
    </w:p>
    <w:p w:rsidR="00802AE0" w:rsidRPr="00802AE0" w:rsidRDefault="00802AE0" w:rsidP="00802AE0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230516" w:rsidRDefault="00230516" w:rsidP="00D902B8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D902B8" w:rsidRPr="00D902B8" w:rsidRDefault="00D902B8" w:rsidP="00D902B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902B8">
        <w:rPr>
          <w:rStyle w:val="FontStyle18"/>
          <w:b w:val="0"/>
          <w:i/>
          <w:sz w:val="28"/>
          <w:szCs w:val="28"/>
        </w:rPr>
        <w:t xml:space="preserve">ФБУ «Омский ЦСМ» </w:t>
      </w:r>
      <w:r w:rsidRPr="00D902B8">
        <w:rPr>
          <w:sz w:val="28"/>
          <w:szCs w:val="28"/>
        </w:rPr>
        <w:t xml:space="preserve">на основании Разрешения на использование знака Национальной системы сертификации от </w:t>
      </w:r>
      <w:r w:rsidRPr="00D902B8">
        <w:rPr>
          <w:rStyle w:val="FontStyle18"/>
          <w:b w:val="0"/>
          <w:i/>
          <w:sz w:val="28"/>
          <w:szCs w:val="28"/>
        </w:rPr>
        <w:t>31.08.2020 № АМ/13-4946</w:t>
      </w:r>
      <w:r w:rsidRPr="00D902B8">
        <w:rPr>
          <w:sz w:val="28"/>
          <w:szCs w:val="28"/>
        </w:rPr>
        <w:t xml:space="preserve">, полученного от ФГУП «СТАНДАРТИНФОРМ», </w:t>
      </w:r>
      <w:r w:rsidRPr="00D902B8">
        <w:rPr>
          <w:rStyle w:val="FontStyle18"/>
          <w:b w:val="0"/>
          <w:sz w:val="28"/>
          <w:szCs w:val="28"/>
        </w:rPr>
        <w:t>в случае успешного</w:t>
      </w:r>
      <w:r w:rsidRPr="00D902B8">
        <w:rPr>
          <w:rStyle w:val="FontStyle18"/>
          <w:b w:val="0"/>
          <w:i/>
          <w:sz w:val="28"/>
          <w:szCs w:val="28"/>
        </w:rPr>
        <w:t xml:space="preserve"> </w:t>
      </w:r>
      <w:r w:rsidRPr="00D902B8">
        <w:rPr>
          <w:sz w:val="28"/>
          <w:szCs w:val="28"/>
        </w:rPr>
        <w:t xml:space="preserve">прохождения процедуры </w:t>
      </w:r>
      <w:r w:rsidRPr="00D77CDC">
        <w:rPr>
          <w:b/>
          <w:i/>
          <w:sz w:val="28"/>
          <w:szCs w:val="28"/>
        </w:rPr>
        <w:lastRenderedPageBreak/>
        <w:t xml:space="preserve">добровольной </w:t>
      </w:r>
      <w:r w:rsidRPr="00D77CDC">
        <w:rPr>
          <w:b/>
          <w:i/>
          <w:sz w:val="28"/>
          <w:szCs w:val="28"/>
        </w:rPr>
        <w:t>сертификации в Национальной системе сертификации</w:t>
      </w:r>
      <w:r w:rsidRPr="00D902B8">
        <w:rPr>
          <w:sz w:val="28"/>
          <w:szCs w:val="28"/>
        </w:rPr>
        <w:t xml:space="preserve"> предоставляет ЗАЯВИТЕЛЮ </w:t>
      </w:r>
      <w:r w:rsidRPr="00D77CDC">
        <w:rPr>
          <w:b/>
          <w:i/>
          <w:sz w:val="28"/>
          <w:szCs w:val="28"/>
        </w:rPr>
        <w:t>право использования</w:t>
      </w:r>
      <w:r w:rsidRPr="00D902B8">
        <w:rPr>
          <w:sz w:val="28"/>
          <w:szCs w:val="28"/>
        </w:rPr>
        <w:t xml:space="preserve"> средства индивидуализации – </w:t>
      </w:r>
      <w:r w:rsidRPr="00D77CDC">
        <w:rPr>
          <w:b/>
          <w:i/>
          <w:sz w:val="28"/>
          <w:szCs w:val="28"/>
        </w:rPr>
        <w:t>знака Национальной системы сертификации</w:t>
      </w:r>
      <w:r w:rsidRPr="00D902B8">
        <w:rPr>
          <w:sz w:val="28"/>
          <w:szCs w:val="28"/>
        </w:rPr>
        <w:t xml:space="preserve"> (товарный знак № 610659) посредством маркирования технологическими способами объектов оценки соответствия, прошедших согласно статье 21 Федерального закона от 27 декабря</w:t>
      </w:r>
      <w:proofErr w:type="gramEnd"/>
      <w:r w:rsidRPr="00D902B8">
        <w:rPr>
          <w:sz w:val="28"/>
          <w:szCs w:val="28"/>
        </w:rPr>
        <w:t xml:space="preserve"> </w:t>
      </w:r>
      <w:proofErr w:type="gramStart"/>
      <w:r w:rsidRPr="00D902B8">
        <w:rPr>
          <w:sz w:val="28"/>
          <w:szCs w:val="28"/>
        </w:rPr>
        <w:t>2002 г. № 184-ФЗ «О техническом регулировании» процедуру сертификации в Национальной системы сер</w:t>
      </w:r>
      <w:bookmarkStart w:id="0" w:name="_GoBack"/>
      <w:bookmarkEnd w:id="0"/>
      <w:r w:rsidRPr="00D902B8">
        <w:rPr>
          <w:sz w:val="28"/>
          <w:szCs w:val="28"/>
        </w:rPr>
        <w:t xml:space="preserve">тификации и соответствующих национальному стандарту Российской Федерации или национальным стандартам Российской Федерации на эти объекты и (или) эксплуатационной или иной документации, прилагаемой к таким объектам оценки соответствия, на срок до </w:t>
      </w:r>
      <w:r w:rsidRPr="00D902B8">
        <w:rPr>
          <w:rStyle w:val="FontStyle18"/>
          <w:b w:val="0"/>
          <w:i/>
          <w:sz w:val="28"/>
          <w:szCs w:val="28"/>
        </w:rPr>
        <w:t xml:space="preserve">25.01.2023 </w:t>
      </w:r>
      <w:r w:rsidRPr="00D902B8">
        <w:rPr>
          <w:sz w:val="28"/>
          <w:szCs w:val="28"/>
        </w:rPr>
        <w:t>на территории Российской Федерации.</w:t>
      </w:r>
      <w:proofErr w:type="gramEnd"/>
    </w:p>
    <w:p w:rsidR="00D902B8" w:rsidRPr="00D902B8" w:rsidRDefault="00D902B8" w:rsidP="00D902B8">
      <w:pPr>
        <w:spacing w:line="276" w:lineRule="auto"/>
        <w:ind w:firstLine="708"/>
        <w:jc w:val="both"/>
        <w:rPr>
          <w:sz w:val="28"/>
          <w:szCs w:val="28"/>
        </w:rPr>
      </w:pPr>
      <w:r w:rsidRPr="00D902B8">
        <w:rPr>
          <w:sz w:val="28"/>
          <w:szCs w:val="28"/>
        </w:rPr>
        <w:t xml:space="preserve">Применение знака Национальной системы сертификации осуществляется в порядке, утвержденном приказом </w:t>
      </w:r>
      <w:proofErr w:type="spellStart"/>
      <w:r w:rsidRPr="00D902B8">
        <w:rPr>
          <w:sz w:val="28"/>
          <w:szCs w:val="28"/>
        </w:rPr>
        <w:t>Минпромторга</w:t>
      </w:r>
      <w:proofErr w:type="spellEnd"/>
      <w:r w:rsidRPr="00D902B8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Pr="00D902B8">
        <w:rPr>
          <w:sz w:val="28"/>
          <w:szCs w:val="28"/>
        </w:rPr>
        <w:t xml:space="preserve">от 31 октября 2017 г. № 3784, и в соответствии с изображением и описанием, утвержденными приказом </w:t>
      </w:r>
      <w:proofErr w:type="spellStart"/>
      <w:r w:rsidRPr="00D902B8">
        <w:rPr>
          <w:sz w:val="28"/>
          <w:szCs w:val="28"/>
        </w:rPr>
        <w:t>Росстандарта</w:t>
      </w:r>
      <w:proofErr w:type="spellEnd"/>
      <w:r w:rsidRPr="00D902B8">
        <w:rPr>
          <w:sz w:val="28"/>
          <w:szCs w:val="28"/>
        </w:rPr>
        <w:t xml:space="preserve"> от 23 июня 2016 г. № 795.</w:t>
      </w:r>
    </w:p>
    <w:p w:rsidR="00D902B8" w:rsidRPr="00D902B8" w:rsidRDefault="00D902B8" w:rsidP="00D902B8">
      <w:pPr>
        <w:spacing w:line="276" w:lineRule="auto"/>
        <w:ind w:firstLine="708"/>
        <w:jc w:val="both"/>
        <w:rPr>
          <w:sz w:val="28"/>
          <w:szCs w:val="28"/>
        </w:rPr>
      </w:pPr>
      <w:r w:rsidRPr="00D902B8">
        <w:rPr>
          <w:sz w:val="28"/>
          <w:szCs w:val="28"/>
        </w:rPr>
        <w:t xml:space="preserve">В случае приостановления или прекращения действия записи в Реестре объектов оценки соответствия, прошедших процедуру сертификации </w:t>
      </w:r>
      <w:r w:rsidRPr="00D902B8">
        <w:rPr>
          <w:sz w:val="28"/>
          <w:szCs w:val="28"/>
        </w:rPr>
        <w:br/>
        <w:t>в Национальной системе сертификации, маркирование знаком Национальной системы сертификации такой продукции и (или) эксплуатационной или иной документации, прилагаемой к такой продукции, не допускается.</w:t>
      </w:r>
    </w:p>
    <w:p w:rsidR="00D902B8" w:rsidRPr="00704E5B" w:rsidRDefault="00D902B8" w:rsidP="00D902B8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</w:p>
    <w:sectPr w:rsidR="00D902B8" w:rsidRPr="00704E5B" w:rsidSect="00C437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4CA"/>
    <w:multiLevelType w:val="multilevel"/>
    <w:tmpl w:val="B79434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744C587D"/>
    <w:multiLevelType w:val="multilevel"/>
    <w:tmpl w:val="92FC50F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D"/>
    <w:rsid w:val="00230516"/>
    <w:rsid w:val="00231EC4"/>
    <w:rsid w:val="002B2212"/>
    <w:rsid w:val="003402F6"/>
    <w:rsid w:val="00641E98"/>
    <w:rsid w:val="006A1037"/>
    <w:rsid w:val="00704E5B"/>
    <w:rsid w:val="007A23B9"/>
    <w:rsid w:val="00802AE0"/>
    <w:rsid w:val="008F4855"/>
    <w:rsid w:val="009D0CFD"/>
    <w:rsid w:val="009D48A2"/>
    <w:rsid w:val="00C43708"/>
    <w:rsid w:val="00D77CDC"/>
    <w:rsid w:val="00D902B8"/>
    <w:rsid w:val="00E753F0"/>
    <w:rsid w:val="00F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37"/>
    <w:pPr>
      <w:ind w:left="720"/>
    </w:pPr>
    <w:rPr>
      <w:sz w:val="24"/>
      <w:szCs w:val="24"/>
    </w:rPr>
  </w:style>
  <w:style w:type="character" w:customStyle="1" w:styleId="FontStyle18">
    <w:name w:val="Font Style18"/>
    <w:uiPriority w:val="99"/>
    <w:rsid w:val="00D902B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37"/>
    <w:pPr>
      <w:ind w:left="720"/>
    </w:pPr>
    <w:rPr>
      <w:sz w:val="24"/>
      <w:szCs w:val="24"/>
    </w:rPr>
  </w:style>
  <w:style w:type="character" w:customStyle="1" w:styleId="FontStyle18">
    <w:name w:val="Font Style18"/>
    <w:uiPriority w:val="99"/>
    <w:rsid w:val="00D902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5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880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411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6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075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5763">
                  <w:marLeft w:val="6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76C1-9606-4453-9C0C-358B715F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3</cp:revision>
  <dcterms:created xsi:type="dcterms:W3CDTF">2023-10-04T09:27:00Z</dcterms:created>
  <dcterms:modified xsi:type="dcterms:W3CDTF">2023-10-04T09:40:00Z</dcterms:modified>
</cp:coreProperties>
</file>