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8" w:rsidRPr="009979A2" w:rsidRDefault="00DF43DD" w:rsidP="009979A2">
      <w:pPr>
        <w:pStyle w:val="ConsPlusNormal"/>
        <w:spacing w:after="120"/>
        <w:ind w:firstLine="540"/>
        <w:jc w:val="center"/>
        <w:rPr>
          <w:b/>
        </w:rPr>
      </w:pPr>
      <w:r w:rsidRPr="00DF43DD">
        <w:rPr>
          <w:b/>
        </w:rPr>
        <w:t xml:space="preserve">При подтверждении соответствия </w:t>
      </w:r>
      <w:r w:rsidRPr="00DF43DD">
        <w:rPr>
          <w:b/>
          <w:u w:val="single"/>
        </w:rPr>
        <w:t xml:space="preserve">продукции по </w:t>
      </w:r>
      <w:proofErr w:type="gramStart"/>
      <w:r w:rsidRPr="00DF43DD">
        <w:rPr>
          <w:b/>
          <w:u w:val="single"/>
        </w:rPr>
        <w:t>ТР</w:t>
      </w:r>
      <w:proofErr w:type="gramEnd"/>
      <w:r w:rsidRPr="00DF43DD">
        <w:rPr>
          <w:b/>
          <w:u w:val="single"/>
        </w:rPr>
        <w:t xml:space="preserve"> ТС </w:t>
      </w:r>
      <w:r w:rsidRPr="00DF43DD">
        <w:rPr>
          <w:b/>
        </w:rPr>
        <w:t>в форме сертификации используется девять типовых схем сертификации</w:t>
      </w:r>
      <w:r w:rsidR="00457364">
        <w:rPr>
          <w:b/>
        </w:rPr>
        <w:t xml:space="preserve"> в соответствии с </w:t>
      </w:r>
      <w:r w:rsidR="00457364" w:rsidRPr="00457364">
        <w:rPr>
          <w:b/>
        </w:rPr>
        <w:t>Решение</w:t>
      </w:r>
      <w:r w:rsidR="00457364">
        <w:rPr>
          <w:b/>
        </w:rPr>
        <w:t>м</w:t>
      </w:r>
      <w:r w:rsidR="00457364" w:rsidRPr="00457364">
        <w:rPr>
          <w:b/>
        </w:rPr>
        <w:t xml:space="preserve"> Коллегии Евразийской экономической комиссии № 621 от 07.04.2011</w:t>
      </w:r>
      <w:r w:rsidR="00CE6856" w:rsidRPr="009979A2">
        <w:rPr>
          <w:b/>
        </w:rPr>
        <w:t xml:space="preserve">: </w:t>
      </w:r>
    </w:p>
    <w:p w:rsidR="0038069B" w:rsidRDefault="0038069B" w:rsidP="0038069B">
      <w:pPr>
        <w:pStyle w:val="21"/>
        <w:tabs>
          <w:tab w:val="left" w:pos="1418"/>
        </w:tabs>
        <w:ind w:firstLine="567"/>
        <w:rPr>
          <w:spacing w:val="-2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8900"/>
      </w:tblGrid>
      <w:tr w:rsidR="0038069B" w:rsidRPr="001D1E41" w:rsidTr="0013293D">
        <w:tc>
          <w:tcPr>
            <w:tcW w:w="1242" w:type="dxa"/>
            <w:vAlign w:val="center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Типовая схема</w:t>
            </w:r>
          </w:p>
        </w:tc>
        <w:tc>
          <w:tcPr>
            <w:tcW w:w="9072" w:type="dxa"/>
            <w:vAlign w:val="center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Процедуры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6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1с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испытаний и анализа состояния производства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7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2с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продукцией, контроль за стабильностью функционирования системы менеджмента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8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3с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>Л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анализ результатов испытаний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маркировка партии продукции единым знаком обращения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9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4с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испытаний каждой единицы продукц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>Л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анализ результатов испытаний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0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5с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проекта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исследования проекта и анализа состояния производства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1" w:history="1">
              <w:r w:rsidR="0038069B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6с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проекта продукции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анализа технической</w:t>
            </w:r>
            <w:r w:rsidRPr="0038069B">
              <w:rPr>
                <w:spacing w:val="-10"/>
                <w:sz w:val="22"/>
                <w:szCs w:val="22"/>
              </w:rPr>
              <w:t xml:space="preserve"> </w:t>
            </w:r>
            <w:r w:rsidRPr="0038069B">
              <w:rPr>
                <w:spacing w:val="-2"/>
                <w:sz w:val="22"/>
                <w:szCs w:val="22"/>
              </w:rPr>
              <w:t xml:space="preserve">документации, в том числе результатов </w:t>
            </w:r>
            <w:r w:rsidRPr="0038069B">
              <w:rPr>
                <w:spacing w:val="-2"/>
                <w:sz w:val="22"/>
                <w:szCs w:val="22"/>
              </w:rPr>
              <w:lastRenderedPageBreak/>
              <w:t>исследования проекта продукции,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 (контроль за стабильностью функционирования системы менеджмента качества).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2" w:history="1">
              <w:r w:rsidR="0038069B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7с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типа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исследования проекта и анализа состояния производства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3" w:history="1">
              <w:r w:rsidR="0038069B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8с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типа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анализа технической документации, в том числе результатов исследования типа,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(контроль за стабильностью функционирования системы менеджмента)</w:t>
            </w:r>
          </w:p>
        </w:tc>
      </w:tr>
      <w:tr w:rsidR="0038069B" w:rsidRPr="001D1E41" w:rsidTr="0013293D">
        <w:tc>
          <w:tcPr>
            <w:tcW w:w="1242" w:type="dxa"/>
            <w:vMerge w:val="restart"/>
          </w:tcPr>
          <w:p w:rsidR="0038069B" w:rsidRPr="0038069B" w:rsidRDefault="00F14B4C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4" w:history="1">
              <w:r w:rsidR="0038069B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9с</w:t>
              </w:r>
            </w:hyperlink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подача заявителем в ОС заявки на проведение сертификации с комплектом документации (сведения о проведенных исследованиях, протоколы испытаний, проведенных изготовителем или АИЛ, сертификаты соответствия на комплектующие материалы и изделия или протоколы испытаний (при наличии), сертификаты на систему менеджмента качества (при наличии), документы, подтверждающие соответствие указанной продукции требованиям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ТР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ТС, на нее распространяющимся, выданные зарубежными органами по сертификации, другие документы, прямо или косвенно подтверждающие соответствие продукции установленным требованиям)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 обобщение ОС результатов анализа технической документации и выдачу заявителю сертификата соответствия</w:t>
            </w:r>
          </w:p>
        </w:tc>
      </w:tr>
      <w:tr w:rsidR="0038069B" w:rsidRPr="001D1E41" w:rsidTr="0013293D">
        <w:tc>
          <w:tcPr>
            <w:tcW w:w="1242" w:type="dxa"/>
            <w:vMerge/>
          </w:tcPr>
          <w:p w:rsidR="0038069B" w:rsidRPr="0038069B" w:rsidRDefault="0038069B" w:rsidP="0013293D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9072" w:type="dxa"/>
          </w:tcPr>
          <w:p w:rsidR="0038069B" w:rsidRPr="0038069B" w:rsidRDefault="0038069B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</w:tbl>
    <w:p w:rsidR="00E8296B" w:rsidRDefault="00684D5B" w:rsidP="0038069B">
      <w:pPr>
        <w:tabs>
          <w:tab w:val="left" w:pos="900"/>
          <w:tab w:val="left" w:pos="1418"/>
        </w:tabs>
        <w:spacing w:before="120" w:after="120"/>
        <w:ind w:firstLine="567"/>
        <w:jc w:val="both"/>
        <w:rPr>
          <w:lang w:eastAsia="ru-RU"/>
        </w:rPr>
      </w:pPr>
      <w:r w:rsidRPr="00684D5B">
        <w:rPr>
          <w:lang w:eastAsia="ru-RU"/>
        </w:rPr>
        <w:t xml:space="preserve">В ОС при подтверждении соответствия продукции в форме </w:t>
      </w:r>
      <w:r>
        <w:rPr>
          <w:lang w:eastAsia="ru-RU"/>
        </w:rPr>
        <w:t xml:space="preserve">обязательной </w:t>
      </w:r>
      <w:r w:rsidRPr="00684D5B">
        <w:rPr>
          <w:lang w:eastAsia="ru-RU"/>
        </w:rPr>
        <w:t>сертификации</w:t>
      </w:r>
      <w:r>
        <w:rPr>
          <w:lang w:eastAsia="ru-RU"/>
        </w:rPr>
        <w:t xml:space="preserve"> на соответствие требованиям </w:t>
      </w:r>
      <w:proofErr w:type="gramStart"/>
      <w:r>
        <w:rPr>
          <w:lang w:eastAsia="ru-RU"/>
        </w:rPr>
        <w:t>ТР</w:t>
      </w:r>
      <w:proofErr w:type="gramEnd"/>
      <w:r>
        <w:rPr>
          <w:lang w:eastAsia="ru-RU"/>
        </w:rPr>
        <w:t xml:space="preserve"> ТС </w:t>
      </w:r>
      <w:r w:rsidRPr="00684D5B">
        <w:rPr>
          <w:lang w:eastAsia="ru-RU"/>
        </w:rPr>
        <w:t>применяются следующие схемы на соответствие требованиям:</w:t>
      </w:r>
    </w:p>
    <w:p w:rsidR="007446E5" w:rsidRPr="001B364C" w:rsidRDefault="007446E5" w:rsidP="007446E5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</w:t>
      </w:r>
      <w:r>
        <w:rPr>
          <w:b/>
          <w:lang w:eastAsia="ru-RU"/>
        </w:rPr>
        <w:t>04</w:t>
      </w:r>
      <w:r w:rsidRPr="001B364C">
        <w:rPr>
          <w:b/>
          <w:lang w:eastAsia="ru-RU"/>
        </w:rPr>
        <w:t>/2011</w:t>
      </w:r>
      <w:r>
        <w:rPr>
          <w:b/>
          <w:lang w:eastAsia="ru-RU"/>
        </w:rPr>
        <w:t xml:space="preserve">, </w:t>
      </w:r>
      <w:r w:rsidRPr="001B364C">
        <w:rPr>
          <w:b/>
          <w:lang w:eastAsia="ru-RU"/>
        </w:rPr>
        <w:t>ТР ТС 0</w:t>
      </w:r>
      <w:r>
        <w:rPr>
          <w:b/>
          <w:lang w:eastAsia="ru-RU"/>
        </w:rPr>
        <w:t>20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7446E5" w:rsidRPr="001B364C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>
        <w:rPr>
          <w:lang w:eastAsia="ru-RU"/>
        </w:rPr>
        <w:t>продукции, выпускаемой серийно);</w:t>
      </w:r>
      <w:r w:rsidRPr="001B364C">
        <w:rPr>
          <w:lang w:eastAsia="ru-RU"/>
        </w:rPr>
        <w:t xml:space="preserve"> </w:t>
      </w:r>
    </w:p>
    <w:p w:rsidR="007446E5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продукции);</w:t>
      </w:r>
    </w:p>
    <w:p w:rsidR="007446E5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4с (для единичного изделия).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>
        <w:rPr>
          <w:b/>
          <w:lang w:eastAsia="ru-RU"/>
        </w:rPr>
        <w:t>ТР</w:t>
      </w:r>
      <w:proofErr w:type="gramEnd"/>
      <w:r>
        <w:rPr>
          <w:b/>
          <w:lang w:eastAsia="ru-RU"/>
        </w:rPr>
        <w:t xml:space="preserve"> ТС 007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</w:t>
      </w:r>
      <w:r w:rsidR="007446E5">
        <w:rPr>
          <w:lang w:eastAsia="ru-RU"/>
        </w:rPr>
        <w:t>одукции</w:t>
      </w:r>
      <w:r>
        <w:rPr>
          <w:lang w:eastAsia="ru-RU"/>
        </w:rPr>
        <w:t>);</w:t>
      </w:r>
    </w:p>
    <w:p w:rsidR="00E8296B" w:rsidRPr="001B364C" w:rsidRDefault="00E8296B" w:rsidP="0038069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4с </w:t>
      </w:r>
      <w:r w:rsidR="007446E5">
        <w:rPr>
          <w:lang w:eastAsia="ru-RU"/>
        </w:rPr>
        <w:t>(для единичного изделия</w:t>
      </w:r>
      <w:r w:rsidR="004F70AF">
        <w:rPr>
          <w:lang w:eastAsia="ru-RU"/>
        </w:rPr>
        <w:t>).</w:t>
      </w:r>
    </w:p>
    <w:p w:rsidR="007446E5" w:rsidRPr="001B364C" w:rsidRDefault="007446E5" w:rsidP="007446E5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</w:t>
      </w:r>
      <w:r>
        <w:rPr>
          <w:b/>
          <w:lang w:eastAsia="ru-RU"/>
        </w:rPr>
        <w:t>0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7446E5" w:rsidRPr="001B364C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>
        <w:rPr>
          <w:lang w:eastAsia="ru-RU"/>
        </w:rPr>
        <w:t>продукции, выпускаемой серийно);</w:t>
      </w:r>
      <w:r w:rsidRPr="001B364C">
        <w:rPr>
          <w:lang w:eastAsia="ru-RU"/>
        </w:rPr>
        <w:t xml:space="preserve"> </w:t>
      </w:r>
    </w:p>
    <w:p w:rsidR="007446E5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продукции (единичного изделия));</w:t>
      </w:r>
    </w:p>
    <w:p w:rsidR="0038069B" w:rsidRPr="0038069B" w:rsidRDefault="007446E5" w:rsidP="00201BB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9с (для партии ограниченного объема).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</w:t>
      </w:r>
      <w:r>
        <w:rPr>
          <w:b/>
          <w:lang w:eastAsia="ru-RU"/>
        </w:rPr>
        <w:t>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lastRenderedPageBreak/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201BB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 w:rsidR="007446E5">
        <w:rPr>
          <w:lang w:eastAsia="ru-RU"/>
        </w:rPr>
        <w:t>партии продукции</w:t>
      </w:r>
      <w:r>
        <w:rPr>
          <w:lang w:eastAsia="ru-RU"/>
        </w:rPr>
        <w:t>).</w:t>
      </w:r>
    </w:p>
    <w:p w:rsidR="00E72FEF" w:rsidRPr="001B364C" w:rsidRDefault="00476558" w:rsidP="00E72FEF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019/2011</w:t>
      </w:r>
      <w:r w:rsidRPr="001B364C">
        <w:rPr>
          <w:lang w:eastAsia="ru-RU"/>
        </w:rPr>
        <w:t xml:space="preserve"> применяются схемы: </w:t>
      </w:r>
    </w:p>
    <w:p w:rsidR="00E72FEF" w:rsidRPr="001B364C" w:rsidRDefault="00476558" w:rsidP="00D042AC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="00897968" w:rsidRPr="00D042AC">
        <w:rPr>
          <w:lang w:eastAsia="ru-RU"/>
        </w:rPr>
        <w:t xml:space="preserve">для </w:t>
      </w:r>
      <w:r w:rsidR="00897968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 w:rsidR="00897968"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72FEF" w:rsidRPr="001B364C" w:rsidRDefault="00476558" w:rsidP="00D042AC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 xml:space="preserve">3с (для </w:t>
      </w:r>
      <w:r w:rsidR="00E72FEF" w:rsidRPr="001B364C">
        <w:rPr>
          <w:lang w:eastAsia="ru-RU"/>
        </w:rPr>
        <w:t>парти</w:t>
      </w:r>
      <w:r w:rsidR="00897968">
        <w:rPr>
          <w:lang w:eastAsia="ru-RU"/>
        </w:rPr>
        <w:t>и продукции</w:t>
      </w:r>
      <w:r w:rsidRPr="001B364C">
        <w:rPr>
          <w:lang w:eastAsia="ru-RU"/>
        </w:rPr>
        <w:t>)</w:t>
      </w:r>
      <w:r w:rsidR="00897968"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72FEF" w:rsidRPr="001B364C" w:rsidRDefault="00476558" w:rsidP="00D042AC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4с (для единичных изделий</w:t>
      </w:r>
      <w:r w:rsidR="00E72FEF" w:rsidRPr="001B364C">
        <w:rPr>
          <w:lang w:eastAsia="ru-RU"/>
        </w:rPr>
        <w:t xml:space="preserve"> (образцов)</w:t>
      </w:r>
      <w:r w:rsidRPr="001B364C">
        <w:rPr>
          <w:lang w:eastAsia="ru-RU"/>
        </w:rPr>
        <w:t>)</w:t>
      </w:r>
      <w:r w:rsidR="00897968"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72FEF" w:rsidRPr="001B364C" w:rsidRDefault="00476558" w:rsidP="00D042AC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5с (при постановке на производство (внедрении в серию))</w:t>
      </w:r>
      <w:r w:rsidR="00897968">
        <w:rPr>
          <w:lang w:eastAsia="ru-RU"/>
        </w:rPr>
        <w:t>;</w:t>
      </w:r>
    </w:p>
    <w:p w:rsidR="00077D2A" w:rsidRPr="000C3704" w:rsidRDefault="00E72FEF" w:rsidP="000C370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6с (при постановке на прои</w:t>
      </w:r>
      <w:r w:rsidR="007446E5">
        <w:rPr>
          <w:lang w:eastAsia="ru-RU"/>
        </w:rPr>
        <w:t>зводство (внедрении в серию</w:t>
      </w:r>
      <w:r w:rsidRPr="001B364C">
        <w:rPr>
          <w:lang w:eastAsia="ru-RU"/>
        </w:rPr>
        <w:t>)).</w:t>
      </w:r>
    </w:p>
    <w:p w:rsidR="00457364" w:rsidRPr="00457364" w:rsidRDefault="00457364" w:rsidP="00457364">
      <w:pPr>
        <w:tabs>
          <w:tab w:val="left" w:pos="900"/>
          <w:tab w:val="left" w:pos="1418"/>
        </w:tabs>
        <w:ind w:firstLine="567"/>
        <w:jc w:val="both"/>
        <w:rPr>
          <w:spacing w:val="-2"/>
          <w:sz w:val="22"/>
          <w:szCs w:val="22"/>
          <w:lang w:eastAsia="ru-RU"/>
        </w:rPr>
      </w:pPr>
      <w:r w:rsidRPr="00457364">
        <w:rPr>
          <w:sz w:val="22"/>
          <w:szCs w:val="22"/>
          <w:lang w:eastAsia="ru-RU"/>
        </w:rPr>
        <w:t xml:space="preserve">При внесении изменений в технические регламенты применяются схемы в соответствии с </w:t>
      </w:r>
      <w:r w:rsidRPr="00457364">
        <w:rPr>
          <w:sz w:val="22"/>
          <w:szCs w:val="22"/>
          <w:lang w:eastAsia="ru-RU"/>
        </w:rPr>
        <w:t>Решение</w:t>
      </w:r>
      <w:r w:rsidR="00F14B4C">
        <w:rPr>
          <w:sz w:val="22"/>
          <w:szCs w:val="22"/>
          <w:lang w:eastAsia="ru-RU"/>
        </w:rPr>
        <w:t>м</w:t>
      </w:r>
      <w:bookmarkStart w:id="0" w:name="_GoBack"/>
      <w:bookmarkEnd w:id="0"/>
      <w:r w:rsidRPr="00457364">
        <w:rPr>
          <w:sz w:val="22"/>
          <w:szCs w:val="22"/>
          <w:lang w:eastAsia="ru-RU"/>
        </w:rPr>
        <w:t xml:space="preserve"> Совета Евразийской экономической комиссии № 44 от 18.04.2018</w:t>
      </w:r>
      <w:r>
        <w:rPr>
          <w:sz w:val="22"/>
          <w:szCs w:val="22"/>
          <w:lang w:eastAsia="ru-RU"/>
        </w:rPr>
        <w:t>.</w:t>
      </w:r>
    </w:p>
    <w:p w:rsidR="00E7058E" w:rsidRPr="00457364" w:rsidRDefault="00E7058E" w:rsidP="00457364">
      <w:pPr>
        <w:tabs>
          <w:tab w:val="left" w:pos="851"/>
        </w:tabs>
        <w:spacing w:before="120"/>
        <w:ind w:firstLine="567"/>
        <w:jc w:val="both"/>
        <w:rPr>
          <w:lang w:eastAsia="ru-RU"/>
        </w:rPr>
      </w:pPr>
    </w:p>
    <w:p w:rsidR="0096492F" w:rsidRPr="009979A2" w:rsidRDefault="003B3063" w:rsidP="009979A2">
      <w:pPr>
        <w:tabs>
          <w:tab w:val="left" w:pos="851"/>
        </w:tabs>
        <w:spacing w:after="120"/>
        <w:jc w:val="center"/>
        <w:rPr>
          <w:rStyle w:val="a3"/>
          <w:b/>
          <w:color w:val="000000" w:themeColor="text1"/>
          <w:u w:val="none"/>
        </w:rPr>
      </w:pPr>
      <w:r w:rsidRPr="003B3063">
        <w:rPr>
          <w:b/>
          <w:lang w:eastAsia="ru-RU"/>
        </w:rPr>
        <w:t xml:space="preserve">При подтверждении соответствия </w:t>
      </w:r>
      <w:r w:rsidRPr="00DF43DD">
        <w:rPr>
          <w:b/>
          <w:u w:val="single"/>
          <w:lang w:eastAsia="ru-RU"/>
        </w:rPr>
        <w:t>продукции, включенной в единый перечень продукции</w:t>
      </w:r>
      <w:r w:rsidRPr="003B3063">
        <w:rPr>
          <w:b/>
          <w:lang w:eastAsia="ru-RU"/>
        </w:rPr>
        <w:t>, подлежащей обязательной сертификации</w:t>
      </w:r>
      <w:r>
        <w:rPr>
          <w:b/>
          <w:lang w:eastAsia="ru-RU"/>
        </w:rPr>
        <w:t>,</w:t>
      </w:r>
      <w:r w:rsidRPr="003B3063">
        <w:rPr>
          <w:b/>
          <w:lang w:eastAsia="ru-RU"/>
        </w:rPr>
        <w:t xml:space="preserve"> и при проведении </w:t>
      </w:r>
      <w:r w:rsidRPr="00DF43DD">
        <w:rPr>
          <w:b/>
          <w:u w:val="single"/>
          <w:lang w:eastAsia="ru-RU"/>
        </w:rPr>
        <w:t>добровольной сертификации</w:t>
      </w:r>
      <w:r w:rsidRPr="003B3063">
        <w:rPr>
          <w:b/>
          <w:lang w:eastAsia="ru-RU"/>
        </w:rPr>
        <w:t xml:space="preserve"> используются </w:t>
      </w:r>
      <w:r w:rsidR="00402382">
        <w:rPr>
          <w:b/>
          <w:lang w:eastAsia="ru-RU"/>
        </w:rPr>
        <w:t>четырнад</w:t>
      </w:r>
      <w:r w:rsidRPr="003B3063">
        <w:rPr>
          <w:b/>
          <w:lang w:eastAsia="ru-RU"/>
        </w:rPr>
        <w:t>цать схем сертификации</w:t>
      </w:r>
      <w:r>
        <w:rPr>
          <w:b/>
          <w:lang w:eastAsia="ru-RU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6095"/>
      </w:tblGrid>
      <w:tr w:rsidR="009503EC" w:rsidRPr="007722DA" w:rsidTr="0013293D">
        <w:tc>
          <w:tcPr>
            <w:tcW w:w="4361" w:type="dxa"/>
            <w:gridSpan w:val="2"/>
            <w:vAlign w:val="center"/>
          </w:tcPr>
          <w:p w:rsidR="009503EC" w:rsidRPr="009503EC" w:rsidRDefault="009503EC" w:rsidP="0013293D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9503E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Номер схемы</w:t>
            </w: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9503EC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Операции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pacing w:val="-4"/>
                <w:sz w:val="22"/>
                <w:szCs w:val="22"/>
              </w:rPr>
              <w:t>Схема 1с</w:t>
            </w:r>
            <w:r w:rsidRPr="009503EC">
              <w:rPr>
                <w:spacing w:val="-4"/>
                <w:sz w:val="22"/>
                <w:szCs w:val="22"/>
              </w:rPr>
              <w:t xml:space="preserve"> применяется в отношении выпускаемой продукции, показатели которой малочувствительны к изменению производственных факторов и когда заявителем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9503EC">
              <w:rPr>
                <w:spacing w:val="-4"/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9503EC">
              <w:rPr>
                <w:spacing w:val="-4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9503EC">
              <w:rPr>
                <w:spacing w:val="-4"/>
                <w:sz w:val="22"/>
                <w:szCs w:val="22"/>
              </w:rPr>
              <w:t>анализ представленной документации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pacing w:val="-4"/>
              </w:rPr>
            </w:pPr>
            <w:r w:rsidRPr="009503EC">
              <w:rPr>
                <w:spacing w:val="-4"/>
                <w:sz w:val="22"/>
                <w:szCs w:val="22"/>
              </w:rPr>
              <w:t>отбор и проведение испытаний типового образца (типовых образцов) АИЛ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pacing w:val="-4"/>
              </w:rPr>
            </w:pPr>
            <w:r w:rsidRPr="009503EC">
              <w:rPr>
                <w:spacing w:val="-4"/>
                <w:sz w:val="22"/>
                <w:szCs w:val="22"/>
              </w:rPr>
              <w:t>анализ результатов испытаний и выдача заявителю сертификата соответствия;</w:t>
            </w:r>
          </w:p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pacing w:val="-4"/>
                <w:sz w:val="22"/>
                <w:szCs w:val="22"/>
              </w:rPr>
              <w:t>маркирование продукции знаком обращения на рынке (знаком соответствия).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pacing w:val="-4"/>
                <w:sz w:val="22"/>
                <w:szCs w:val="22"/>
              </w:rPr>
              <w:t>Схема 2с</w:t>
            </w:r>
            <w:r w:rsidRPr="009503EC">
              <w:rPr>
                <w:spacing w:val="-4"/>
                <w:sz w:val="22"/>
                <w:szCs w:val="22"/>
              </w:rPr>
              <w:t xml:space="preserve"> применяется в отношении выпускаемой продукции, показатели которой малочувствительны к изменению производственных факторов и когда заявителем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9503EC">
              <w:rPr>
                <w:spacing w:val="-4"/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9503EC">
              <w:rPr>
                <w:spacing w:val="-4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отбор и проведение испытаний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анализ состояния производства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Схема 3с</w:t>
            </w:r>
            <w:r w:rsidRPr="009503EC">
              <w:rPr>
                <w:sz w:val="22"/>
                <w:szCs w:val="22"/>
                <w:lang w:eastAsia="ru-RU"/>
              </w:rPr>
              <w:t xml:space="preserve"> </w:t>
            </w:r>
            <w:r w:rsidRPr="009503EC">
              <w:rPr>
                <w:spacing w:val="-4"/>
                <w:sz w:val="22"/>
                <w:szCs w:val="22"/>
              </w:rPr>
              <w:t>применяется в отношении выпускаемой продукции, показатели которой чувствительны к изменению производственных факторов и когда заявителем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отбор и проведение испытаний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анализ результатов испытаний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proofErr w:type="gramStart"/>
            <w:r w:rsidRPr="009503EC">
              <w:rPr>
                <w:b/>
                <w:sz w:val="22"/>
                <w:szCs w:val="22"/>
                <w:lang w:eastAsia="ru-RU"/>
              </w:rPr>
              <w:t>Схема 4с</w:t>
            </w:r>
            <w:r w:rsidRPr="009503EC">
              <w:rPr>
                <w:sz w:val="22"/>
                <w:szCs w:val="22"/>
                <w:lang w:eastAsia="ru-RU"/>
              </w:rPr>
              <w:t xml:space="preserve"> </w:t>
            </w:r>
            <w:r w:rsidRPr="009503EC">
              <w:rPr>
                <w:spacing w:val="-4"/>
                <w:sz w:val="22"/>
                <w:szCs w:val="22"/>
              </w:rPr>
              <w:t>применяется в отношении выпускаемой продукции, показатели которой чувствительны к изменению производственных факторов и когда заявителем является изготовитель продукции или лицо, выполняющее его функции, а также в случае, когда результаты испытаний типового образца в силу их одноразовости не могут дать уверенности в стабильности подтвержденных показателей в течение срока действия сертификата или за время до очередного инспекционного контроля</w:t>
            </w:r>
            <w:proofErr w:type="gramEnd"/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отбор и проведение испытаний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анализ состояния производства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proofErr w:type="gramStart"/>
            <w:r w:rsidRPr="009503EC">
              <w:rPr>
                <w:b/>
                <w:sz w:val="22"/>
                <w:szCs w:val="22"/>
                <w:lang w:eastAsia="ru-RU"/>
              </w:rPr>
              <w:t>Схема 5с</w:t>
            </w:r>
            <w:r w:rsidRPr="009503EC">
              <w:rPr>
                <w:sz w:val="22"/>
                <w:szCs w:val="22"/>
                <w:lang w:eastAsia="ru-RU"/>
              </w:rPr>
              <w:t xml:space="preserve"> </w:t>
            </w:r>
            <w:r w:rsidRPr="009503EC">
              <w:rPr>
                <w:spacing w:val="-4"/>
                <w:sz w:val="22"/>
                <w:szCs w:val="22"/>
              </w:rPr>
              <w:t xml:space="preserve">применяется в отношении выпускаемой продукции, показатели которой </w:t>
            </w:r>
            <w:r w:rsidRPr="009503EC">
              <w:rPr>
                <w:spacing w:val="-4"/>
                <w:sz w:val="22"/>
                <w:szCs w:val="22"/>
              </w:rPr>
              <w:lastRenderedPageBreak/>
              <w:t>чувствительны к изменению производственных факторов и когда заявителем является изготовитель продукции или лицо, выполняющее его функции, а также в случае, когда результаты испытаний типового образца в силу их одноразовости не могут дать уверенности в стабильности подтвержденных показателей в течение срока действия сертификата или за время до очередного инспекционного контроля</w:t>
            </w:r>
            <w:proofErr w:type="gramEnd"/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lastRenderedPageBreak/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отбор и испытания типовых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оценку (сертификацию) системы качества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 и системой качества</w:t>
            </w:r>
          </w:p>
        </w:tc>
      </w:tr>
      <w:tr w:rsidR="009503EC" w:rsidRPr="007722DA" w:rsidTr="0013293D">
        <w:tc>
          <w:tcPr>
            <w:tcW w:w="10456" w:type="dxa"/>
            <w:gridSpan w:val="3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Выбор между схемами сертификации 4с и 5с определяется степенью чувствительности значений показателей продукции к изменению производственных факторов, а также весомости этих показателей для обеспечения безопасности продукции в целом. Схема сертификации 5с в наибольшей степени решает такие задачи, но она применима не ко всем изготовителям. Выбор между оценкой системы качества и сертификацией системы качества осуществляется заявителем, если иное не содержится в техническом регламенте или в правилах системы добровольной сертификации.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Схема 6с</w:t>
            </w:r>
            <w:r w:rsidRPr="009503EC">
              <w:rPr>
                <w:sz w:val="22"/>
                <w:szCs w:val="22"/>
                <w:lang w:eastAsia="ru-RU"/>
              </w:rPr>
              <w:t xml:space="preserve"> применяется в отношении отдельных партий или единиц продукции, приобретенной продавцами и не имеющими сертификата соответствия (закупленной за рубежом), также схема может применяться изготовителями, например, при разовой поставке партии продукции или выпуске уникального изделия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tabs>
                <w:tab w:val="left" w:pos="851"/>
                <w:tab w:val="left" w:pos="1418"/>
              </w:tabs>
              <w:jc w:val="both"/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отбор и испытания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анализ результатов испытаний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Схема 7с</w:t>
            </w:r>
            <w:r w:rsidRPr="009503EC">
              <w:rPr>
                <w:sz w:val="22"/>
                <w:szCs w:val="22"/>
                <w:lang w:eastAsia="ru-RU"/>
              </w:rPr>
              <w:t xml:space="preserve"> применяется в отношении отдельных партий или единиц продукции приобретенной продавцами и не имеющими сертификата соответствия (закупленной за рубежом), также схема может применяться изготовителями, например, при разовой поставке партии продукции или выпуске уникального изделия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испытания единицы продукции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анализ результатов испытаний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Схема 8с</w:t>
            </w:r>
            <w:r w:rsidRPr="009503EC">
              <w:rPr>
                <w:sz w:val="22"/>
                <w:szCs w:val="22"/>
                <w:lang w:eastAsia="ru-RU"/>
              </w:rPr>
              <w:t xml:space="preserve"> применяется для сертификации продукции, когда требования, соответствие которым оценивается, в полной мере невозможно или затруднительно проверить при сертификационных испытаниях готового изделия. Кроме того, эту схему целесообразно применять для продукции с большой степенью потенциальной опасности и </w:t>
            </w:r>
            <w:proofErr w:type="gramStart"/>
            <w:r w:rsidRPr="009503EC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9503EC">
              <w:rPr>
                <w:sz w:val="22"/>
                <w:szCs w:val="22"/>
                <w:lang w:eastAsia="ru-RU"/>
              </w:rPr>
              <w:t xml:space="preserve"> значительной продолжительностью производственного цикла, а также в случае планирования выпуска большого числа модификаций продукции. З</w:t>
            </w:r>
            <w:r w:rsidRPr="009503EC">
              <w:rPr>
                <w:spacing w:val="-4"/>
                <w:sz w:val="22"/>
                <w:szCs w:val="22"/>
              </w:rPr>
              <w:t>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исследование разрабатываемой продукции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анализ состояния производства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tabs>
                <w:tab w:val="left" w:pos="900"/>
                <w:tab w:val="left" w:pos="1418"/>
              </w:tabs>
            </w:pPr>
            <w:r w:rsidRPr="009503EC">
              <w:rPr>
                <w:b/>
                <w:sz w:val="22"/>
                <w:szCs w:val="22"/>
                <w:lang w:eastAsia="ru-RU"/>
              </w:rPr>
              <w:t>Схема 9с</w:t>
            </w:r>
            <w:r w:rsidRPr="009503EC">
              <w:rPr>
                <w:sz w:val="22"/>
                <w:szCs w:val="22"/>
              </w:rPr>
              <w:t xml:space="preserve"> </w:t>
            </w:r>
            <w:r w:rsidRPr="009503EC">
              <w:rPr>
                <w:sz w:val="22"/>
                <w:szCs w:val="22"/>
                <w:lang w:eastAsia="ru-RU"/>
              </w:rPr>
              <w:t xml:space="preserve">применяется для сертификации продукции, когда требования, соответствие которым оценивается, в полной мере невозможно или затруднительно проверить при сертификационных испытаниях готового изделия. Кроме того, эту схему целесообразно применять для продукции с большой степенью потенциальной опасности и </w:t>
            </w:r>
            <w:proofErr w:type="gramStart"/>
            <w:r w:rsidRPr="009503EC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9503EC">
              <w:rPr>
                <w:sz w:val="22"/>
                <w:szCs w:val="22"/>
                <w:lang w:eastAsia="ru-RU"/>
              </w:rPr>
              <w:t xml:space="preserve"> значительной продолжительностью производственного цикла, а также в случае планирования </w:t>
            </w:r>
            <w:r w:rsidRPr="009503EC">
              <w:rPr>
                <w:sz w:val="22"/>
                <w:szCs w:val="22"/>
                <w:lang w:eastAsia="ru-RU"/>
              </w:rPr>
              <w:lastRenderedPageBreak/>
              <w:t>выпуска большого числа модификаций продукции. З</w:t>
            </w:r>
            <w:r w:rsidRPr="009503EC">
              <w:rPr>
                <w:spacing w:val="-4"/>
                <w:sz w:val="22"/>
                <w:szCs w:val="22"/>
              </w:rPr>
              <w:t>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lastRenderedPageBreak/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исследование проекта продукции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оценку (сертификацию) системы качества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 и системой качества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tabs>
                <w:tab w:val="left" w:pos="1222"/>
              </w:tabs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</w:rPr>
              <w:lastRenderedPageBreak/>
              <w:t>Схемы 10с</w:t>
            </w:r>
            <w:r w:rsidRPr="009503EC">
              <w:rPr>
                <w:sz w:val="22"/>
                <w:szCs w:val="22"/>
              </w:rPr>
              <w:t xml:space="preserve"> применяется для сертификации проекта продукции, когда требования, соответствие которым оценивается, в полной мере невозможно или затруднительно проверить. Кроме того, эту схему целесообразно применять для проекта продукции с большой степенью потенциальной опасности и </w:t>
            </w:r>
            <w:proofErr w:type="gramStart"/>
            <w:r w:rsidRPr="009503EC">
              <w:rPr>
                <w:sz w:val="22"/>
                <w:szCs w:val="22"/>
              </w:rPr>
              <w:t>с</w:t>
            </w:r>
            <w:proofErr w:type="gramEnd"/>
            <w:r w:rsidRPr="009503EC">
              <w:rPr>
                <w:sz w:val="22"/>
                <w:szCs w:val="22"/>
              </w:rPr>
              <w:t xml:space="preserve"> значительной продолжительностью производственного цикла, а также в случае планирования выпуска большого числа модификаций продукции. З</w:t>
            </w:r>
            <w:r w:rsidRPr="009503EC">
              <w:rPr>
                <w:spacing w:val="-4"/>
                <w:sz w:val="22"/>
                <w:szCs w:val="22"/>
              </w:rPr>
              <w:t>аявителем является изготовитель продукции или лицо, выполняющее его функции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исследование проекта продукции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отбор и испытания образцов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оценку (сертификацию) системы качества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 и системой качества</w:t>
            </w:r>
          </w:p>
        </w:tc>
      </w:tr>
      <w:tr w:rsidR="009503EC" w:rsidRPr="007722DA" w:rsidTr="0013293D">
        <w:tc>
          <w:tcPr>
            <w:tcW w:w="3652" w:type="dxa"/>
            <w:vMerge w:val="restart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spacing w:val="-4"/>
              </w:rPr>
            </w:pPr>
            <w:r w:rsidRPr="009503EC">
              <w:rPr>
                <w:b/>
                <w:sz w:val="22"/>
                <w:szCs w:val="22"/>
              </w:rPr>
              <w:t xml:space="preserve">Схемы 11с, 12 </w:t>
            </w:r>
            <w:proofErr w:type="gramStart"/>
            <w:r w:rsidRPr="009503EC">
              <w:rPr>
                <w:b/>
                <w:sz w:val="22"/>
                <w:szCs w:val="22"/>
              </w:rPr>
              <w:t>с</w:t>
            </w:r>
            <w:proofErr w:type="gramEnd"/>
            <w:r w:rsidRPr="009503EC">
              <w:rPr>
                <w:b/>
                <w:sz w:val="22"/>
                <w:szCs w:val="22"/>
              </w:rPr>
              <w:t xml:space="preserve"> </w:t>
            </w:r>
            <w:r w:rsidRPr="009503EC">
              <w:rPr>
                <w:sz w:val="22"/>
                <w:szCs w:val="22"/>
              </w:rPr>
              <w:t xml:space="preserve">рекомендуется использовать </w:t>
            </w:r>
            <w:proofErr w:type="gramStart"/>
            <w:r w:rsidRPr="009503EC">
              <w:rPr>
                <w:sz w:val="22"/>
                <w:szCs w:val="22"/>
              </w:rPr>
              <w:t>в</w:t>
            </w:r>
            <w:proofErr w:type="gramEnd"/>
            <w:r w:rsidRPr="009503EC">
              <w:rPr>
                <w:sz w:val="22"/>
                <w:szCs w:val="22"/>
              </w:rPr>
              <w:t xml:space="preserve"> основном для подтверждения соответствия инновационной, сравнительно сложной продукции, предусмотренной к постановке на серийное и массовое производство. Эти схемы могут быть также использованы при подтверждении соответствия продукции, на которую техническими регламентами или другими обязательными для заявителя документами установлены общие (существенные) требования, и когда заявитель не использует предусмотренные в установленном порядке соответствующие национальные стандарты и своды правил для интерпретации общих (существенных) требований. З</w:t>
            </w:r>
            <w:r w:rsidRPr="009503EC">
              <w:rPr>
                <w:spacing w:val="-4"/>
                <w:sz w:val="22"/>
                <w:szCs w:val="22"/>
              </w:rPr>
              <w:t>аявителем является изготовитель продукции или лицо, выполняющее его функции</w:t>
            </w:r>
          </w:p>
        </w:tc>
        <w:tc>
          <w:tcPr>
            <w:tcW w:w="709" w:type="dxa"/>
            <w:vMerge w:val="restart"/>
            <w:vAlign w:val="center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center"/>
              <w:rPr>
                <w:spacing w:val="-4"/>
              </w:rPr>
            </w:pPr>
            <w:r w:rsidRPr="009503EC">
              <w:rPr>
                <w:b/>
                <w:sz w:val="22"/>
                <w:szCs w:val="22"/>
              </w:rPr>
              <w:t>11с</w:t>
            </w: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ConsPlusNormal"/>
              <w:shd w:val="clear" w:color="auto" w:fill="FFFFFF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исследование типа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анализ результатов исследования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503EC" w:rsidRPr="009503EC" w:rsidRDefault="009503EC" w:rsidP="0013293D">
            <w:pPr>
              <w:jc w:val="center"/>
              <w:rPr>
                <w:spacing w:val="-4"/>
                <w:lang w:eastAsia="ru-RU"/>
              </w:rPr>
            </w:pPr>
            <w:r w:rsidRPr="009503EC">
              <w:rPr>
                <w:b/>
                <w:spacing w:val="-4"/>
                <w:sz w:val="22"/>
                <w:szCs w:val="22"/>
                <w:lang w:eastAsia="ru-RU"/>
              </w:rPr>
              <w:t>12с</w:t>
            </w:r>
          </w:p>
        </w:tc>
        <w:tc>
          <w:tcPr>
            <w:tcW w:w="6095" w:type="dxa"/>
            <w:vAlign w:val="center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исследование типа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анализ состояния производства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обобщение полученных результатов проверок и выдача заявителю сертификата соответствия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маркирование продукции знаком обращения на рынке (знаком соответствия)</w:t>
            </w:r>
          </w:p>
        </w:tc>
      </w:tr>
      <w:tr w:rsidR="009503EC" w:rsidRPr="007722DA" w:rsidTr="0013293D">
        <w:tc>
          <w:tcPr>
            <w:tcW w:w="3652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709" w:type="dxa"/>
            <w:vMerge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 xml:space="preserve">инспекционный </w:t>
            </w:r>
            <w:proofErr w:type="gramStart"/>
            <w:r w:rsidRPr="009503EC">
              <w:rPr>
                <w:sz w:val="22"/>
                <w:szCs w:val="22"/>
              </w:rPr>
              <w:t>контроль за</w:t>
            </w:r>
            <w:proofErr w:type="gramEnd"/>
            <w:r w:rsidRPr="009503EC">
              <w:rPr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spacing w:val="-4"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Схемы 13с</w:t>
            </w:r>
            <w:r w:rsidRPr="009503EC">
              <w:rPr>
                <w:sz w:val="22"/>
                <w:szCs w:val="22"/>
                <w:lang w:eastAsia="ru-RU"/>
              </w:rPr>
              <w:t xml:space="preserve"> используется для сертификации типа как самостоятельного объекта сертификации. Сертификат типа может применяться при регистрации продукции и утверждении типа продукции (разрешения на ее производство и применение) в установленном порядке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исследование типа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анализ проведенных исследований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выдача заявителю сертификата типа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 w:val="restart"/>
          </w:tcPr>
          <w:p w:rsidR="009503EC" w:rsidRPr="009503EC" w:rsidRDefault="009503EC" w:rsidP="0013293D">
            <w:pPr>
              <w:rPr>
                <w:b/>
                <w:lang w:eastAsia="ru-RU"/>
              </w:rPr>
            </w:pPr>
            <w:r w:rsidRPr="009503EC">
              <w:rPr>
                <w:b/>
                <w:sz w:val="22"/>
                <w:szCs w:val="22"/>
                <w:lang w:eastAsia="ru-RU"/>
              </w:rPr>
              <w:t>Схемы 14с</w:t>
            </w:r>
            <w:r w:rsidRPr="009503EC">
              <w:rPr>
                <w:sz w:val="22"/>
                <w:szCs w:val="22"/>
                <w:lang w:eastAsia="ru-RU"/>
              </w:rPr>
              <w:t xml:space="preserve"> может использоваться при сертификации проекта как самостоятельного вида продукции, при обращении к органу по сертификации разработчика или заказчика проекта</w:t>
            </w:r>
          </w:p>
        </w:tc>
        <w:tc>
          <w:tcPr>
            <w:tcW w:w="6095" w:type="dxa"/>
          </w:tcPr>
          <w:p w:rsidR="009503EC" w:rsidRPr="009503EC" w:rsidRDefault="009503EC" w:rsidP="0013293D">
            <w:pPr>
              <w:pStyle w:val="ConsPlusNormal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503EC">
              <w:rPr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исследование проекта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</w:pPr>
            <w:r w:rsidRPr="009503EC">
              <w:rPr>
                <w:sz w:val="22"/>
                <w:szCs w:val="22"/>
              </w:rPr>
              <w:t>анализ проведенных исследований</w:t>
            </w:r>
          </w:p>
        </w:tc>
      </w:tr>
      <w:tr w:rsidR="009503EC" w:rsidRPr="007722DA" w:rsidTr="0013293D">
        <w:tc>
          <w:tcPr>
            <w:tcW w:w="4361" w:type="dxa"/>
            <w:gridSpan w:val="2"/>
            <w:vMerge/>
          </w:tcPr>
          <w:p w:rsidR="009503EC" w:rsidRPr="009503EC" w:rsidRDefault="009503EC" w:rsidP="0013293D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095" w:type="dxa"/>
          </w:tcPr>
          <w:p w:rsidR="009503EC" w:rsidRPr="009503EC" w:rsidRDefault="009503EC" w:rsidP="0013293D">
            <w:pPr>
              <w:jc w:val="both"/>
              <w:rPr>
                <w:spacing w:val="-4"/>
                <w:lang w:eastAsia="ru-RU"/>
              </w:rPr>
            </w:pPr>
            <w:r w:rsidRPr="009503EC">
              <w:rPr>
                <w:sz w:val="22"/>
                <w:szCs w:val="22"/>
              </w:rPr>
              <w:t>выдача заявителю сертификата соответствия проекта</w:t>
            </w:r>
          </w:p>
        </w:tc>
      </w:tr>
    </w:tbl>
    <w:p w:rsidR="00AD69F0" w:rsidRDefault="00A33BC3" w:rsidP="00F875EA">
      <w:pPr>
        <w:ind w:firstLine="567"/>
        <w:jc w:val="both"/>
      </w:pPr>
      <w:r w:rsidRPr="00D269FD">
        <w:t xml:space="preserve">Добровольная сертификация проводится </w:t>
      </w:r>
      <w:r w:rsidRPr="00F875EA">
        <w:rPr>
          <w:b/>
          <w:i/>
        </w:rPr>
        <w:t>по инициативе заявителя</w:t>
      </w:r>
      <w:r w:rsidRPr="00D269FD">
        <w:t xml:space="preserve"> на соответствие требовани</w:t>
      </w:r>
      <w:r w:rsidR="00DF43DD">
        <w:t>ям</w:t>
      </w:r>
      <w:r w:rsidRPr="00D269FD">
        <w:t xml:space="preserve"> </w:t>
      </w:r>
      <w:r w:rsidR="00DF43DD">
        <w:t xml:space="preserve">нормативных документов (национальных </w:t>
      </w:r>
      <w:r w:rsidRPr="00D269FD">
        <w:t>стандартов, ТУ</w:t>
      </w:r>
      <w:r w:rsidR="00DF43DD">
        <w:t>, СТО)</w:t>
      </w:r>
      <w:r w:rsidRPr="00D269FD">
        <w:t xml:space="preserve"> и других документов, определяемых заявителем.</w:t>
      </w:r>
      <w:r w:rsidRPr="00B84749">
        <w:t xml:space="preserve"> </w:t>
      </w:r>
    </w:p>
    <w:sectPr w:rsidR="00AD69F0" w:rsidSect="00F875E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1">
    <w:nsid w:val="0B0864B6"/>
    <w:multiLevelType w:val="hybridMultilevel"/>
    <w:tmpl w:val="BF70BB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6B796E"/>
    <w:multiLevelType w:val="hybridMultilevel"/>
    <w:tmpl w:val="6DA82346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74F4A"/>
    <w:multiLevelType w:val="hybridMultilevel"/>
    <w:tmpl w:val="02548BA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F258F3"/>
    <w:multiLevelType w:val="hybridMultilevel"/>
    <w:tmpl w:val="5746A37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0D5138"/>
    <w:multiLevelType w:val="hybridMultilevel"/>
    <w:tmpl w:val="5DE24246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166EF8"/>
    <w:multiLevelType w:val="hybridMultilevel"/>
    <w:tmpl w:val="D80E1A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BC2CDD"/>
    <w:multiLevelType w:val="hybridMultilevel"/>
    <w:tmpl w:val="98CA0A1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A7653"/>
    <w:multiLevelType w:val="hybridMultilevel"/>
    <w:tmpl w:val="2676E4D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9A7CEB"/>
    <w:multiLevelType w:val="hybridMultilevel"/>
    <w:tmpl w:val="42400B3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0E1043"/>
    <w:multiLevelType w:val="hybridMultilevel"/>
    <w:tmpl w:val="19F29B5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BB079A"/>
    <w:multiLevelType w:val="hybridMultilevel"/>
    <w:tmpl w:val="8340A5F2"/>
    <w:lvl w:ilvl="0" w:tplc="20F6CB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5C6C01"/>
    <w:multiLevelType w:val="hybridMultilevel"/>
    <w:tmpl w:val="4CA47F96"/>
    <w:lvl w:ilvl="0" w:tplc="D7EE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7727A"/>
    <w:multiLevelType w:val="hybridMultilevel"/>
    <w:tmpl w:val="091E16C4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7217836"/>
    <w:multiLevelType w:val="hybridMultilevel"/>
    <w:tmpl w:val="43941698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A52DF1"/>
    <w:multiLevelType w:val="multilevel"/>
    <w:tmpl w:val="D75EBC7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3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8"/>
    <w:rsid w:val="00077D2A"/>
    <w:rsid w:val="00096F3C"/>
    <w:rsid w:val="000C3704"/>
    <w:rsid w:val="000E2454"/>
    <w:rsid w:val="001B364C"/>
    <w:rsid w:val="00201BB4"/>
    <w:rsid w:val="00287E03"/>
    <w:rsid w:val="0038069B"/>
    <w:rsid w:val="003B3063"/>
    <w:rsid w:val="00402382"/>
    <w:rsid w:val="00457364"/>
    <w:rsid w:val="00476558"/>
    <w:rsid w:val="004F70AF"/>
    <w:rsid w:val="00670DD7"/>
    <w:rsid w:val="00684C1E"/>
    <w:rsid w:val="00684D5B"/>
    <w:rsid w:val="006A5686"/>
    <w:rsid w:val="007446E5"/>
    <w:rsid w:val="00761D11"/>
    <w:rsid w:val="00897968"/>
    <w:rsid w:val="00937508"/>
    <w:rsid w:val="009503EC"/>
    <w:rsid w:val="0096492F"/>
    <w:rsid w:val="009979A2"/>
    <w:rsid w:val="00A33BC3"/>
    <w:rsid w:val="00A379D6"/>
    <w:rsid w:val="00A42E65"/>
    <w:rsid w:val="00AD69F0"/>
    <w:rsid w:val="00B84749"/>
    <w:rsid w:val="00C02817"/>
    <w:rsid w:val="00C10049"/>
    <w:rsid w:val="00CE6856"/>
    <w:rsid w:val="00D042AC"/>
    <w:rsid w:val="00D269FD"/>
    <w:rsid w:val="00D615D8"/>
    <w:rsid w:val="00DC1A2F"/>
    <w:rsid w:val="00DD59D3"/>
    <w:rsid w:val="00DF43DD"/>
    <w:rsid w:val="00E7058E"/>
    <w:rsid w:val="00E72FEF"/>
    <w:rsid w:val="00E8296B"/>
    <w:rsid w:val="00EC099F"/>
    <w:rsid w:val="00F14B4C"/>
    <w:rsid w:val="00F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492F"/>
    <w:rPr>
      <w:color w:val="0000FF"/>
      <w:u w:val="single"/>
    </w:rPr>
  </w:style>
  <w:style w:type="paragraph" w:customStyle="1" w:styleId="s1">
    <w:name w:val="s_1"/>
    <w:basedOn w:val="a"/>
    <w:rsid w:val="0096492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96492F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269FD"/>
    <w:pPr>
      <w:ind w:left="720"/>
      <w:contextualSpacing/>
    </w:pPr>
  </w:style>
  <w:style w:type="paragraph" w:customStyle="1" w:styleId="21">
    <w:name w:val="Основной текст 21"/>
    <w:basedOn w:val="a"/>
    <w:rsid w:val="0038069B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6BC01E8AB10101AA5EBEE121079E773DED5B9D1FE54DC35391612DBB2D4D69297C395051D1E45n473K" TargetMode="External"/><Relationship Id="rId13" Type="http://schemas.openxmlformats.org/officeDocument/2006/relationships/hyperlink" Target="consultantplus://offline/ref=743DAEB03E69FC381CFCF3FE77A5130BB97E19EB4C5BECCB936E2114A6D7B5354D960F5460FB0DD4jAY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A23F617910B3E3591BE3572A4924CA4066923FB175A26375F1CBA7B1EF21C049960309D137348t045K" TargetMode="External"/><Relationship Id="rId12" Type="http://schemas.openxmlformats.org/officeDocument/2006/relationships/hyperlink" Target="consultantplus://offline/ref=241DA778F165B855DC5CE819F2ABE73DF2035E5C6198EB875A3B42298D05921D48EFF5E4532F52182EU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F2AA9A046C60E571433901659B195A68EA37D5A1049131D6D5DD822F6B3BD43EB9C6E6E7EC05510FK" TargetMode="External"/><Relationship Id="rId11" Type="http://schemas.openxmlformats.org/officeDocument/2006/relationships/hyperlink" Target="consultantplus://offline/ref=F704A6CE71E4DECF894323125B306052B98A573BFC3777C9BA7E127753C1F1233F9BA2F69AF3C8EFMFT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87455FAE0CA1D71718DADC172DF3683EACFAFC91391F03AA9DCE0D679613309E27AC65E196957g4R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9126D75B79395156BF748BDD02E028CEE1C10CEB16BBDF4784B758020B6D134B0A947AF7337F0NDPAL" TargetMode="External"/><Relationship Id="rId14" Type="http://schemas.openxmlformats.org/officeDocument/2006/relationships/hyperlink" Target="consultantplus://offline/ref=9F8558CDF57505B8A9BC0713BC7D199ABC5EDEA22F9FD8B0BA0117DB0C9268A21CDA0412F47B0045c2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20</cp:revision>
  <dcterms:created xsi:type="dcterms:W3CDTF">2016-01-20T07:22:00Z</dcterms:created>
  <dcterms:modified xsi:type="dcterms:W3CDTF">2019-06-17T03:21:00Z</dcterms:modified>
</cp:coreProperties>
</file>